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73B" w:rsidRPr="00363D85" w:rsidRDefault="00DF073B" w:rsidP="00363D85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63D85">
        <w:rPr>
          <w:rFonts w:ascii="Arial" w:eastAsia="Times New Roman" w:hAnsi="Arial" w:cs="Arial"/>
          <w:b/>
          <w:sz w:val="24"/>
          <w:szCs w:val="24"/>
          <w:lang w:eastAsia="ru-RU"/>
        </w:rPr>
        <w:t>РЕЗУЛЬТАТЫ ГОДОВОГО ОБЩЕГО СОБРАНИЯ АКЦИОНЕРОВ ОАО «ЧЕРНОГОРНЕФТЬ»</w:t>
      </w:r>
    </w:p>
    <w:p w:rsidR="00363D85" w:rsidRPr="00363D85" w:rsidRDefault="00DF073B" w:rsidP="00363D85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3D85">
        <w:rPr>
          <w:rFonts w:ascii="Arial" w:eastAsia="Times New Roman" w:hAnsi="Arial" w:cs="Arial"/>
          <w:b/>
          <w:sz w:val="24"/>
          <w:szCs w:val="24"/>
          <w:lang w:eastAsia="ru-RU"/>
        </w:rPr>
        <w:t>Москва, 15 июня 2012 г</w:t>
      </w:r>
      <w:r w:rsidR="00363D85" w:rsidRPr="00363D85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Годовое общее собрание акционеров ОАО «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Черногорнефть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 xml:space="preserve"> (дочернее общество ТНК-ВР)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утвердило го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 xml:space="preserve">довой отчет за 2011 год, 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бухгалтерскую отчетность</w:t>
      </w:r>
      <w:r w:rsidR="009A0666">
        <w:rPr>
          <w:rFonts w:ascii="Arial" w:eastAsia="Times New Roman" w:hAnsi="Arial" w:cs="Arial"/>
          <w:sz w:val="24"/>
          <w:szCs w:val="24"/>
          <w:lang w:eastAsia="ru-RU"/>
        </w:rPr>
        <w:t>,  в том числе отчет о прибылях и убытках за 2011 год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>, устав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>общества</w:t>
      </w:r>
      <w:r w:rsidR="00363D85"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в новой редакции</w:t>
      </w:r>
      <w:r w:rsidR="00363D85"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>и назначило а</w:t>
      </w:r>
      <w:r w:rsidR="00363D85" w:rsidRPr="00363D85">
        <w:rPr>
          <w:rFonts w:ascii="Arial" w:eastAsia="Times New Roman" w:hAnsi="Arial" w:cs="Arial"/>
          <w:sz w:val="24"/>
          <w:szCs w:val="24"/>
          <w:lang w:eastAsia="ru-RU"/>
        </w:rPr>
        <w:t>удитором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 xml:space="preserve"> на 2012</w:t>
      </w:r>
      <w:r w:rsidR="009A06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9A0666">
        <w:rPr>
          <w:rFonts w:ascii="Arial" w:eastAsia="Times New Roman" w:hAnsi="Arial" w:cs="Arial"/>
          <w:sz w:val="24"/>
          <w:szCs w:val="24"/>
          <w:lang w:eastAsia="ru-RU"/>
        </w:rPr>
        <w:t>од</w:t>
      </w:r>
      <w:r w:rsidR="00363D85"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ЗАО «БДО».</w:t>
      </w:r>
    </w:p>
    <w:p w:rsidR="00363D85" w:rsidRDefault="00363D85" w:rsidP="00363D85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Собрание акционеров также </w:t>
      </w:r>
      <w:r w:rsidR="006A4812">
        <w:rPr>
          <w:rFonts w:ascii="Arial" w:eastAsia="Times New Roman" w:hAnsi="Arial" w:cs="Arial"/>
          <w:sz w:val="24"/>
          <w:szCs w:val="24"/>
          <w:lang w:eastAsia="ru-RU"/>
        </w:rPr>
        <w:t>утвердило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распределение прибыли и убытков ОАО «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Черногорнефть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>» и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приня</w:t>
      </w:r>
      <w:r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о решение не выплачивать дивиденды по результатам 2011 года.</w:t>
      </w:r>
    </w:p>
    <w:p w:rsidR="00436624" w:rsidRPr="00363D85" w:rsidRDefault="00436624" w:rsidP="00363D85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073B" w:rsidRPr="00363D85" w:rsidRDefault="00DF073B" w:rsidP="00363D85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3D85">
        <w:rPr>
          <w:rFonts w:ascii="Arial" w:eastAsia="Times New Roman" w:hAnsi="Arial" w:cs="Arial"/>
          <w:sz w:val="24"/>
          <w:szCs w:val="24"/>
          <w:lang w:eastAsia="ru-RU"/>
        </w:rPr>
        <w:t>Акционеры избрали новый состав Совета директоров ОАО «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Черногорнефть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>, в него вошли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Гармонов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Александр Михайлович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Дубинина Наталья Валентиновна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Медведева Любовь Германовна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Пинчук Андрей Александрович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Прокопенков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Виталий Валерьевич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Пятницина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Людмила Валерьяновна</w:t>
      </w:r>
      <w:r w:rsidR="00363D8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Савкова Александра Владимировна</w:t>
      </w:r>
      <w:r w:rsidR="006A481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A3C69" w:rsidRPr="00EA3C69" w:rsidRDefault="00EA3C69" w:rsidP="00EA3C69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A3C69">
        <w:rPr>
          <w:rFonts w:ascii="Arial" w:eastAsia="Times New Roman" w:hAnsi="Arial" w:cs="Arial"/>
          <w:sz w:val="24"/>
          <w:szCs w:val="24"/>
          <w:lang w:eastAsia="ru-RU"/>
        </w:rPr>
        <w:t>Акционеры избрали Ревизионн</w:t>
      </w:r>
      <w:r>
        <w:rPr>
          <w:rFonts w:ascii="Arial" w:eastAsia="Times New Roman" w:hAnsi="Arial" w:cs="Arial"/>
          <w:sz w:val="24"/>
          <w:szCs w:val="24"/>
          <w:lang w:eastAsia="ru-RU"/>
        </w:rPr>
        <w:t>ую</w:t>
      </w:r>
      <w:r w:rsidRPr="00EA3C69">
        <w:rPr>
          <w:rFonts w:ascii="Arial" w:eastAsia="Times New Roman" w:hAnsi="Arial" w:cs="Arial"/>
          <w:sz w:val="24"/>
          <w:szCs w:val="24"/>
          <w:lang w:eastAsia="ru-RU"/>
        </w:rPr>
        <w:t xml:space="preserve"> комисси</w:t>
      </w:r>
      <w:r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EA3C6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bookmarkStart w:id="0" w:name="_GoBack"/>
      <w:r w:rsidRPr="00EA3C69">
        <w:rPr>
          <w:rFonts w:ascii="Arial" w:eastAsia="Times New Roman" w:hAnsi="Arial" w:cs="Arial"/>
          <w:sz w:val="24"/>
          <w:szCs w:val="24"/>
          <w:lang w:eastAsia="ru-RU"/>
        </w:rPr>
        <w:t>ОАО «</w:t>
      </w:r>
      <w:proofErr w:type="spellStart"/>
      <w:r w:rsidRPr="00EA3C69">
        <w:rPr>
          <w:rFonts w:ascii="Arial" w:eastAsia="Times New Roman" w:hAnsi="Arial" w:cs="Arial"/>
          <w:sz w:val="24"/>
          <w:szCs w:val="24"/>
          <w:lang w:eastAsia="ru-RU"/>
        </w:rPr>
        <w:t>Черногорнефть</w:t>
      </w:r>
      <w:proofErr w:type="spellEnd"/>
      <w:r w:rsidRPr="00EA3C69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bookmarkEnd w:id="0"/>
      <w:r w:rsidRPr="00EA3C69">
        <w:rPr>
          <w:rFonts w:ascii="Arial" w:eastAsia="Times New Roman" w:hAnsi="Arial" w:cs="Arial"/>
          <w:sz w:val="24"/>
          <w:szCs w:val="24"/>
          <w:lang w:eastAsia="ru-RU"/>
        </w:rPr>
        <w:t xml:space="preserve">в составе 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Белова Виктория Михайловна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Гурьянова Наталья Анатольевна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Криволапова Елена Анатольевна.</w:t>
      </w:r>
    </w:p>
    <w:p w:rsidR="00363D85" w:rsidRPr="00EA3C69" w:rsidRDefault="00363D85" w:rsidP="00363D85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3D85" w:rsidRPr="00363D85" w:rsidRDefault="00363D85" w:rsidP="00363D85">
      <w:pPr>
        <w:jc w:val="both"/>
        <w:rPr>
          <w:rFonts w:ascii="Arial" w:eastAsia="SimSun" w:hAnsi="Arial" w:cs="Arial"/>
          <w:b/>
          <w:sz w:val="24"/>
          <w:szCs w:val="24"/>
          <w:lang w:eastAsia="zh-CN"/>
        </w:rPr>
      </w:pPr>
      <w:r w:rsidRPr="00363D85">
        <w:rPr>
          <w:rFonts w:ascii="Arial" w:eastAsia="SimSun" w:hAnsi="Arial" w:cs="Arial"/>
          <w:b/>
          <w:sz w:val="24"/>
          <w:szCs w:val="24"/>
          <w:lang w:eastAsia="zh-CN"/>
        </w:rPr>
        <w:t xml:space="preserve">Информация для редакторов: </w:t>
      </w:r>
    </w:p>
    <w:p w:rsidR="00363D85" w:rsidRPr="00363D85" w:rsidRDefault="00363D85" w:rsidP="00363D85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3D85">
        <w:rPr>
          <w:rFonts w:ascii="Arial" w:eastAsia="Times New Roman" w:hAnsi="Arial" w:cs="Arial"/>
          <w:sz w:val="24"/>
          <w:szCs w:val="24"/>
          <w:lang w:eastAsia="ru-RU"/>
        </w:rPr>
        <w:t>ТНК-</w:t>
      </w:r>
      <w:proofErr w:type="gram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BP</w:t>
      </w:r>
      <w:proofErr w:type="gram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является третьей крупнейшей нефтяной компанией России, акционерами которой на паритетной основе являются ВР и консорциум ААР (Альфа Групп/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Аксесс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Индастриз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>/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Ренова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). ТНК-ВР также владеет около 50 процентов российской нефтегазовой компании 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Славнефть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>. На долю ТНК-ВР приходится около 16 процентов объема добычи нефти в России (включая долю ТНК-ВР в компании «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Славнефть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»). По критериям SEC LOF (без учета срока действия лицензий) совокупные доказанные запасы консолидированных дочерних предприятий Компании по состоянию на 31 декабря 2011 года составили 9,115 </w:t>
      </w:r>
      <w:proofErr w:type="spellStart"/>
      <w:proofErr w:type="gram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млрд</w:t>
      </w:r>
      <w:proofErr w:type="spellEnd"/>
      <w:proofErr w:type="gram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барр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. н. э. </w:t>
      </w:r>
    </w:p>
    <w:p w:rsidR="00363D85" w:rsidRPr="00363D85" w:rsidRDefault="00363D85" w:rsidP="00363D85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3D85">
        <w:rPr>
          <w:rFonts w:ascii="Arial" w:eastAsia="Times New Roman" w:hAnsi="Arial" w:cs="Arial"/>
          <w:sz w:val="24"/>
          <w:szCs w:val="24"/>
          <w:lang w:eastAsia="ru-RU"/>
        </w:rPr>
        <w:t>ОАО «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Черногорнефть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>» - зарегистрированное и действующее в России открытое акционерное общество, созданное в мае 1994 года. Акции ОАО «</w:t>
      </w:r>
      <w:proofErr w:type="spellStart"/>
      <w:r w:rsidRPr="00363D85">
        <w:rPr>
          <w:rFonts w:ascii="Arial" w:eastAsia="Times New Roman" w:hAnsi="Arial" w:cs="Arial"/>
          <w:sz w:val="24"/>
          <w:szCs w:val="24"/>
          <w:lang w:eastAsia="ru-RU"/>
        </w:rPr>
        <w:t>Черногорнефть</w:t>
      </w:r>
      <w:proofErr w:type="spellEnd"/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» допущены к торгам без прохождения процедуры листинга на фондовой бирже </w:t>
      </w:r>
      <w:r w:rsidR="0000113D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0113D">
        <w:rPr>
          <w:rFonts w:ascii="Arial" w:eastAsia="Times New Roman" w:hAnsi="Arial" w:cs="Arial"/>
          <w:sz w:val="24"/>
          <w:szCs w:val="24"/>
          <w:lang w:eastAsia="ru-RU"/>
        </w:rPr>
        <w:t xml:space="preserve">ЗАО «ФБ 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ММВБ</w:t>
      </w:r>
      <w:r w:rsidR="0000113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363D8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63D85" w:rsidRPr="00363D85" w:rsidRDefault="00363D85" w:rsidP="00363D85">
      <w:pPr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363D85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Упоминание «ТНК-ВР» или «Группа» означает «ТНК-ВР </w:t>
      </w:r>
      <w:proofErr w:type="spellStart"/>
      <w:r w:rsidRPr="00363D85">
        <w:rPr>
          <w:rFonts w:ascii="Arial" w:eastAsia="Times New Roman" w:hAnsi="Arial" w:cs="Arial"/>
          <w:i/>
          <w:sz w:val="24"/>
          <w:szCs w:val="24"/>
          <w:lang w:eastAsia="ru-RU"/>
        </w:rPr>
        <w:t>International</w:t>
      </w:r>
      <w:proofErr w:type="spellEnd"/>
      <w:r w:rsidRPr="00363D85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а также консолидированные дочерние предприятия компании», если контекст не требует иного прочтения. </w:t>
      </w:r>
    </w:p>
    <w:p w:rsidR="00363D85" w:rsidRPr="00363D85" w:rsidRDefault="00363D85" w:rsidP="00363D85">
      <w:pPr>
        <w:jc w:val="both"/>
        <w:rPr>
          <w:rFonts w:ascii="Arial" w:eastAsia="SimSun" w:hAnsi="Arial" w:cs="Arial"/>
          <w:b/>
          <w:sz w:val="24"/>
          <w:szCs w:val="24"/>
          <w:lang w:eastAsia="zh-CN"/>
        </w:rPr>
      </w:pPr>
      <w:r w:rsidRPr="00363D85">
        <w:rPr>
          <w:rFonts w:ascii="Arial" w:eastAsia="SimSun" w:hAnsi="Arial" w:cs="Arial"/>
          <w:b/>
          <w:sz w:val="24"/>
          <w:szCs w:val="24"/>
          <w:lang w:eastAsia="zh-CN"/>
        </w:rPr>
        <w:t xml:space="preserve">За дополнительной информацией просим обращаться: </w:t>
      </w:r>
    </w:p>
    <w:p w:rsidR="00363D85" w:rsidRPr="00363D85" w:rsidRDefault="00363D85" w:rsidP="00363D85">
      <w:pPr>
        <w:jc w:val="both"/>
        <w:rPr>
          <w:rFonts w:ascii="Arial" w:eastAsia="SimSun" w:hAnsi="Arial" w:cs="Arial"/>
          <w:sz w:val="28"/>
          <w:szCs w:val="28"/>
          <w:lang w:eastAsia="zh-CN"/>
        </w:rPr>
      </w:pPr>
      <w:r w:rsidRPr="00363D85">
        <w:rPr>
          <w:rFonts w:ascii="Arial" w:eastAsia="SimSun" w:hAnsi="Arial" w:cs="Arial"/>
          <w:sz w:val="28"/>
          <w:szCs w:val="28"/>
          <w:lang w:eastAsia="zh-CN"/>
        </w:rPr>
        <w:lastRenderedPageBreak/>
        <w:t xml:space="preserve">Управление по связям с общественностью: тел. (495) 363-27-57 </w:t>
      </w:r>
    </w:p>
    <w:p w:rsidR="00363D85" w:rsidRPr="00363D85" w:rsidRDefault="00371AC7" w:rsidP="00363D85">
      <w:pPr>
        <w:jc w:val="both"/>
        <w:rPr>
          <w:rFonts w:ascii="Arial" w:hAnsi="Arial" w:cs="Arial"/>
          <w:sz w:val="24"/>
          <w:szCs w:val="24"/>
        </w:rPr>
      </w:pPr>
      <w:hyperlink r:id="rId5" w:history="1">
        <w:r w:rsidR="00363D85" w:rsidRPr="00363D85">
          <w:rPr>
            <w:rFonts w:ascii="Arial" w:hAnsi="Arial" w:cs="Arial"/>
            <w:color w:val="0000FF"/>
            <w:sz w:val="24"/>
            <w:szCs w:val="24"/>
            <w:u w:val="single"/>
          </w:rPr>
          <w:t>media@tnk-bp.com</w:t>
        </w:r>
      </w:hyperlink>
      <w:r w:rsidR="00363D85" w:rsidRPr="00363D85">
        <w:rPr>
          <w:rFonts w:ascii="Arial" w:hAnsi="Arial" w:cs="Arial"/>
          <w:sz w:val="24"/>
          <w:szCs w:val="24"/>
        </w:rPr>
        <w:t xml:space="preserve"> </w:t>
      </w:r>
    </w:p>
    <w:p w:rsidR="00DF073B" w:rsidRPr="004863E3" w:rsidRDefault="00371AC7" w:rsidP="00C660A1">
      <w:pPr>
        <w:jc w:val="both"/>
        <w:rPr>
          <w:b/>
          <w:color w:val="548DD4"/>
        </w:rPr>
      </w:pPr>
      <w:hyperlink r:id="rId6" w:history="1">
        <w:r w:rsidR="00363D85" w:rsidRPr="00363D85">
          <w:rPr>
            <w:rFonts w:ascii="Arial" w:hAnsi="Arial" w:cs="Arial"/>
            <w:color w:val="0000FF"/>
            <w:sz w:val="24"/>
            <w:szCs w:val="24"/>
            <w:u w:val="single"/>
          </w:rPr>
          <w:t>www.tnk-bp.ru</w:t>
        </w:r>
      </w:hyperlink>
      <w:r w:rsidR="00363D85" w:rsidRPr="00363D85">
        <w:rPr>
          <w:rFonts w:ascii="Arial" w:hAnsi="Arial" w:cs="Arial"/>
          <w:sz w:val="24"/>
          <w:szCs w:val="24"/>
        </w:rPr>
        <w:t xml:space="preserve"> </w:t>
      </w:r>
    </w:p>
    <w:sectPr w:rsidR="00DF073B" w:rsidRPr="004863E3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7634"/>
    <w:multiLevelType w:val="hybridMultilevel"/>
    <w:tmpl w:val="04069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635410"/>
    <w:multiLevelType w:val="hybridMultilevel"/>
    <w:tmpl w:val="A17C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7C3C16"/>
    <w:multiLevelType w:val="hybridMultilevel"/>
    <w:tmpl w:val="B270ED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863E3"/>
    <w:rsid w:val="0000113D"/>
    <w:rsid w:val="000360B5"/>
    <w:rsid w:val="000675B4"/>
    <w:rsid w:val="00093061"/>
    <w:rsid w:val="000A4DC9"/>
    <w:rsid w:val="002634B0"/>
    <w:rsid w:val="00363D85"/>
    <w:rsid w:val="00371AC7"/>
    <w:rsid w:val="003913EB"/>
    <w:rsid w:val="00436624"/>
    <w:rsid w:val="004863E3"/>
    <w:rsid w:val="004A4C58"/>
    <w:rsid w:val="004A5899"/>
    <w:rsid w:val="005173EF"/>
    <w:rsid w:val="006A4812"/>
    <w:rsid w:val="00701F98"/>
    <w:rsid w:val="0073488A"/>
    <w:rsid w:val="007F6292"/>
    <w:rsid w:val="00856403"/>
    <w:rsid w:val="0088693A"/>
    <w:rsid w:val="008C15CF"/>
    <w:rsid w:val="008C48F7"/>
    <w:rsid w:val="008F1728"/>
    <w:rsid w:val="00931233"/>
    <w:rsid w:val="00963587"/>
    <w:rsid w:val="009A0666"/>
    <w:rsid w:val="00B76D84"/>
    <w:rsid w:val="00C660A1"/>
    <w:rsid w:val="00CC638F"/>
    <w:rsid w:val="00D52D04"/>
    <w:rsid w:val="00DF073B"/>
    <w:rsid w:val="00E43DDB"/>
    <w:rsid w:val="00EA3C69"/>
    <w:rsid w:val="00F83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B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358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3662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3662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36624"/>
    <w:rPr>
      <w:sz w:val="20"/>
      <w:szCs w:val="20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3662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3662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3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66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B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35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nk-bp.ru/" TargetMode="External"/><Relationship Id="rId5" Type="http://schemas.openxmlformats.org/officeDocument/2006/relationships/hyperlink" Target="mailto:media@tnk-bp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 ГОДОВОГО ОБЩЕГО СОБРАНИЯ АКЦИОНЕРОВ ОАО «ЧЕРНОГОРНЕФТЬ»</vt:lpstr>
    </vt:vector>
  </TitlesOfParts>
  <Company>THK-BP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 ГОДОВОГО ОБЩЕГО СОБРАНИЯ АКЦИОНЕРОВ ОАО «ЧЕРНОГОРНЕФТЬ»</dc:title>
  <dc:creator>AAPervukhina</dc:creator>
  <cp:lastModifiedBy>AAPervukhina</cp:lastModifiedBy>
  <cp:revision>3</cp:revision>
  <cp:lastPrinted>2012-05-31T09:58:00Z</cp:lastPrinted>
  <dcterms:created xsi:type="dcterms:W3CDTF">2012-06-08T11:28:00Z</dcterms:created>
  <dcterms:modified xsi:type="dcterms:W3CDTF">2012-06-15T08:48:00Z</dcterms:modified>
</cp:coreProperties>
</file>